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E7677">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Chenqiushi</w:t>
      </w:r>
    </w:p>
    <w:p w14:paraId="187C8361">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James Otyehel</w:t>
      </w:r>
    </w:p>
    <w:p w14:paraId="43ECEC71">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Ela2.5</w:t>
      </w:r>
    </w:p>
    <w:p w14:paraId="1D703CA1">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2026.6.3</w:t>
      </w:r>
    </w:p>
    <w:p w14:paraId="0B275B7F">
      <w:pPr>
        <w:spacing w:line="480" w:lineRule="auto"/>
        <w:ind w:firstLine="480" w:firstLineChars="200"/>
        <w:jc w:val="center"/>
        <w:rPr>
          <w:rFonts w:hint="default" w:ascii="Times New Roman Italic" w:hAnsi="Times New Roman Italic" w:cs="Times New Roman Italic"/>
          <w:i/>
          <w:iCs/>
          <w:sz w:val="24"/>
          <w:szCs w:val="24"/>
          <w:lang w:val="en-US" w:eastAsia="zh-CN"/>
        </w:rPr>
      </w:pPr>
      <w:r>
        <w:rPr>
          <w:rFonts w:hint="default" w:ascii="Times New Roman Regular" w:hAnsi="Times New Roman Regular" w:cs="Times New Roman Regular"/>
          <w:sz w:val="24"/>
          <w:szCs w:val="24"/>
          <w:lang w:val="en-US" w:eastAsia="zh-CN"/>
        </w:rPr>
        <w:t xml:space="preserve">The Constructed Center: Gender, Gaze, and Marginalization in </w:t>
      </w:r>
      <w:r>
        <w:rPr>
          <w:rFonts w:hint="default" w:ascii="Times New Roman Italic" w:hAnsi="Times New Roman Italic" w:cs="Times New Roman Italic"/>
          <w:i/>
          <w:iCs/>
          <w:sz w:val="24"/>
          <w:szCs w:val="24"/>
          <w:lang w:val="en-US" w:eastAsia="zh-CN"/>
        </w:rPr>
        <w:t>Wuthering Heights</w:t>
      </w:r>
    </w:p>
    <w:p w14:paraId="43C6995F">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Critics have long considered Heathcliff’s revenge the center of Wuthering Heights. But is this center formed naturally? As Stoneman claims, many critics in the past “had too often assumed that Heathcliff was the centre of the novel” (Stoneman 148). So I raise questions about how revenge is constructed as the center, and how this centralization block</w:t>
      </w:r>
      <w:r>
        <w:rPr>
          <w:rFonts w:hint="eastAsia" w:ascii="Times New Roman Regular" w:hAnsi="Times New Roman Regular" w:cs="Times New Roman Regular"/>
          <w:sz w:val="24"/>
          <w:szCs w:val="24"/>
          <w:lang w:val="en-US" w:eastAsia="zh-CN"/>
        </w:rPr>
        <w:t>s</w:t>
      </w:r>
      <w:r>
        <w:rPr>
          <w:rFonts w:hint="default" w:ascii="Times New Roman Regular" w:hAnsi="Times New Roman Regular" w:cs="Times New Roman Regular"/>
          <w:sz w:val="24"/>
          <w:szCs w:val="24"/>
          <w:lang w:val="en-US" w:eastAsia="zh-CN"/>
        </w:rPr>
        <w:t xml:space="preserve"> female characters and female narrative voices? In this text, I will use the concept “male gaze” in gender criticism to analyze these questions. Specifically, I will examine </w:t>
      </w:r>
      <w:bookmarkStart w:id="0" w:name="_GoBack"/>
      <w:bookmarkEnd w:id="0"/>
      <w:r>
        <w:rPr>
          <w:rFonts w:hint="default" w:ascii="Times New Roman Regular" w:hAnsi="Times New Roman Regular" w:cs="Times New Roman Regular"/>
          <w:sz w:val="24"/>
          <w:szCs w:val="24"/>
          <w:lang w:val="en-US" w:eastAsia="zh-CN"/>
        </w:rPr>
        <w:t>how the male gaze constructs a spectator position that fears being looked back at, how it demonizes women who return the gaze, and how it is reinforced by the legal structure of coverture.</w:t>
      </w:r>
    </w:p>
    <w:p w14:paraId="2EDC786C">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First of all, Lockwood's narrative position is a structure of a male gaze, which is a power structure where men watch and women are watched. Lockwood is afraid of being "looked back at" by women, so he seeks a safer way to gaze.</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Lockwood’s sense of security depends on occupying the ‘spectator’ position. Being ‘looked back’ at would reduce him to an object of judgment, which triggers his anxiety.</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 xml:space="preserve">Lockwood’s response to a woman’s look is described as he retreated “colder and farther”, as if a woman’s look could physically push him away (Brontë 6) . According to Newman, to narrate is to gaze, so listening to Catherine’s story is a safe way for him to gaze Catherine. By doing so, he can consume her as the subject of his narrative without being looked back at. Critics are just like Lockwood. They choose to safely gaze Heathcliff without facing the threat that comes from women looking back, because Heathcliff’s suffering invites observation without challenging this order. Therefore, this preference for male gaze is not neutral. It actively constructs Heathcliff as the center, while marginalizing those female characters who refuse to be </w:t>
      </w:r>
      <w:r>
        <w:rPr>
          <w:rFonts w:hint="eastAsia" w:ascii="Times New Roman Regular" w:hAnsi="Times New Roman Regular" w:cs="Times New Roman Regular"/>
          <w:sz w:val="24"/>
          <w:szCs w:val="24"/>
          <w:lang w:val="en-US" w:eastAsia="zh-CN"/>
        </w:rPr>
        <w:t>look</w:t>
      </w:r>
      <w:r>
        <w:rPr>
          <w:rFonts w:hint="default" w:ascii="Times New Roman Regular" w:hAnsi="Times New Roman Regular" w:cs="Times New Roman Regular"/>
          <w:sz w:val="24"/>
          <w:szCs w:val="24"/>
          <w:lang w:val="en-US" w:eastAsia="zh-CN"/>
        </w:rPr>
        <w:t>ed at.</w:t>
      </w:r>
    </w:p>
    <w:p w14:paraId="46A9D4F6">
      <w:pPr>
        <w:spacing w:line="480" w:lineRule="auto"/>
        <w:ind w:firstLine="480" w:firstLineChars="2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Catherine Linton, who dares to "look back", has been demonized by almost all male characters</w:t>
      </w:r>
      <w:r>
        <w:rPr>
          <w:rFonts w:hint="eastAsia" w:ascii="Times New Roman Regular" w:hAnsi="Times New Roman Regular" w:cs="Times New Roman Regular"/>
          <w:sz w:val="24"/>
          <w:szCs w:val="24"/>
          <w:lang w:val="en-US" w:eastAsia="zh-CN"/>
        </w:rPr>
        <w:t xml:space="preserve">—that is, labelled as a witch, monster, or sexual deviant so that she can no longer be safely gazed upon. </w:t>
      </w:r>
      <w:r>
        <w:rPr>
          <w:rFonts w:hint="default" w:ascii="Times New Roman Regular" w:hAnsi="Times New Roman Regular" w:cs="Times New Roman Regular"/>
          <w:sz w:val="24"/>
          <w:szCs w:val="24"/>
          <w:lang w:val="en-US" w:eastAsia="zh-CN"/>
        </w:rPr>
        <w:t>According to gender criticism, when a wom</w:t>
      </w:r>
      <w:r>
        <w:rPr>
          <w:rFonts w:hint="eastAsia" w:ascii="Times New Roman Regular" w:hAnsi="Times New Roman Regular" w:cs="Times New Roman Regular"/>
          <w:sz w:val="24"/>
          <w:szCs w:val="24"/>
          <w:lang w:val="en-US" w:eastAsia="zh-CN"/>
        </w:rPr>
        <w:t>a</w:t>
      </w:r>
      <w:r>
        <w:rPr>
          <w:rFonts w:hint="default" w:ascii="Times New Roman Regular" w:hAnsi="Times New Roman Regular" w:cs="Times New Roman Regular"/>
          <w:sz w:val="24"/>
          <w:szCs w:val="24"/>
          <w:lang w:val="en-US" w:eastAsia="zh-CN"/>
        </w:rPr>
        <w:t>n looks back, it means</w:t>
      </w:r>
      <w:r>
        <w:rPr>
          <w:rFonts w:hint="eastAsia" w:ascii="Times New Roman Regular" w:hAnsi="Times New Roman Regular" w:cs="Times New Roman Regular"/>
          <w:sz w:val="24"/>
          <w:szCs w:val="24"/>
          <w:lang w:val="en-US" w:eastAsia="zh-CN"/>
        </w:rPr>
        <w:t xml:space="preserve"> s</w:t>
      </w:r>
      <w:r>
        <w:rPr>
          <w:rFonts w:hint="default" w:ascii="Times New Roman Regular" w:hAnsi="Times New Roman Regular" w:cs="Times New Roman Regular"/>
          <w:sz w:val="24"/>
          <w:szCs w:val="24"/>
          <w:lang w:val="en-US" w:eastAsia="zh-CN"/>
        </w:rPr>
        <w:t>he declares that she is a subject not an object (Newman 1032). This threat to the power structure must be suppressed by the male characters. In the story, Joseph replies “It’s yon flaysome, graceless quean...wi’ her bold een” to Catherine’s lookback (qtd. in Newman 1032). The word ‘quean’, carrying meanings of a sexually forward woman—explicitly links Catherine’s ‘bold een’ (eyes) to moral corruption. Bronte's use of dialect tries to make this moral judgment seem like a community consensus. The purpose of this judgment is precisely to deny the subjectivity that Catherine declared through "looking back".</w:t>
      </w:r>
      <w:r>
        <w:rPr>
          <w:rFonts w:hint="eastAsia" w:ascii="Times New Roman Regular" w:hAnsi="Times New Roman Regular" w:cs="Times New Roman Regular"/>
          <w:sz w:val="24"/>
          <w:szCs w:val="24"/>
          <w:lang w:val="en-US" w:eastAsia="zh-CN"/>
        </w:rPr>
        <w:t xml:space="preserve"> </w:t>
      </w:r>
      <w:r>
        <w:rPr>
          <w:rFonts w:hint="default" w:ascii="Times New Roman Regular" w:hAnsi="Times New Roman Regular" w:cs="Times New Roman Regular"/>
          <w:sz w:val="24"/>
          <w:szCs w:val="24"/>
          <w:lang w:val="en-US" w:eastAsia="zh-CN"/>
        </w:rPr>
        <w:t>This is precisely what Joseph wants to suppress. Thus, Catherine is structurally excluded from the position of a ‘safe’ object of gaze.</w:t>
      </w:r>
    </w:p>
    <w:p w14:paraId="279D3103">
      <w:pPr>
        <w:spacing w:line="480" w:lineRule="auto"/>
        <w:ind w:firstLine="720" w:firstLineChars="30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Although Isabella's story has long been marginalized by critics, Bronte</w:t>
      </w:r>
      <w:r>
        <w:rPr>
          <w:rFonts w:hint="eastAsia" w:ascii="Times New Roman Regular" w:hAnsi="Times New Roman Regular" w:cs="Times New Roman Regular"/>
          <w:sz w:val="24"/>
          <w:szCs w:val="24"/>
          <w:lang w:val="en-US" w:eastAsia="zh-CN"/>
        </w:rPr>
        <w:t xml:space="preserve"> us</w:t>
      </w:r>
      <w:r>
        <w:rPr>
          <w:rFonts w:hint="default" w:ascii="Times New Roman Regular" w:hAnsi="Times New Roman Regular" w:cs="Times New Roman Regular"/>
          <w:sz w:val="24"/>
          <w:szCs w:val="24"/>
          <w:lang w:val="en-US" w:eastAsia="zh-CN"/>
        </w:rPr>
        <w:t xml:space="preserve">es typesetting and spatial arrangement to imply that her narrative deserves attention. Critics </w:t>
      </w:r>
      <w:r>
        <w:rPr>
          <w:rFonts w:hint="eastAsia" w:ascii="Times New Roman Regular" w:hAnsi="Times New Roman Regular" w:cs="Times New Roman Regular"/>
          <w:sz w:val="24"/>
          <w:szCs w:val="24"/>
          <w:lang w:val="en-US" w:eastAsia="zh-CN"/>
        </w:rPr>
        <w:t>have</w:t>
      </w:r>
      <w:r>
        <w:rPr>
          <w:rFonts w:hint="default" w:ascii="Times New Roman Regular" w:hAnsi="Times New Roman Regular" w:cs="Times New Roman Regular"/>
          <w:sz w:val="24"/>
          <w:szCs w:val="24"/>
          <w:lang w:val="en-US" w:eastAsia="zh-CN"/>
        </w:rPr>
        <w:t xml:space="preserve"> long focused on Catherine and Heathcliff’s romantic story, because revenge and entangled emotions better fit the tragedy structure. The story of how Isabella was deceived, abused and eventually escaped cannot be incorporated into the framework of this romantic tragedy, so it is ignored as "filler". In the book, Isabella’s name appears boldly on the page at the end of the letter, “for her name is even more dramatically set off spatially and typographically” (Pike 355).</w:t>
      </w:r>
      <w:r>
        <w:rPr>
          <w:rFonts w:hint="eastAsia" w:ascii="Times New Roman Regular" w:hAnsi="Times New Roman Regular" w:cs="Times New Roman Regular"/>
          <w:sz w:val="24"/>
          <w:szCs w:val="24"/>
          <w:lang w:val="en-US" w:eastAsia="zh-CN"/>
        </w:rPr>
        <w:t xml:space="preserve"> Brontë uses typographical emphasis to signal that Isabella</w:t>
      </w:r>
      <w:r>
        <w:rPr>
          <w:rFonts w:hint="default" w:ascii="Times New Roman Regular" w:hAnsi="Times New Roman Regular" w:cs="Times New Roman Regular"/>
          <w:sz w:val="24"/>
          <w:szCs w:val="24"/>
          <w:lang w:val="en-US" w:eastAsia="zh-CN"/>
        </w:rPr>
        <w:t>’</w:t>
      </w:r>
      <w:r>
        <w:rPr>
          <w:rFonts w:hint="eastAsia" w:ascii="Times New Roman Regular" w:hAnsi="Times New Roman Regular" w:cs="Times New Roman Regular"/>
          <w:sz w:val="24"/>
          <w:szCs w:val="24"/>
          <w:lang w:val="en-US" w:eastAsia="zh-CN"/>
        </w:rPr>
        <w:t>s story matters, confronting the narrative</w:t>
      </w:r>
      <w:r>
        <w:rPr>
          <w:rFonts w:hint="default" w:ascii="Times New Roman Regular" w:hAnsi="Times New Roman Regular" w:cs="Times New Roman Regular"/>
          <w:sz w:val="24"/>
          <w:szCs w:val="24"/>
          <w:lang w:val="en-US" w:eastAsia="zh-CN"/>
        </w:rPr>
        <w:t>’</w:t>
      </w:r>
      <w:r>
        <w:rPr>
          <w:rFonts w:hint="eastAsia" w:ascii="Times New Roman Regular" w:hAnsi="Times New Roman Regular" w:cs="Times New Roman Regular"/>
          <w:sz w:val="24"/>
          <w:szCs w:val="24"/>
          <w:lang w:val="en-US" w:eastAsia="zh-CN"/>
        </w:rPr>
        <w:t>s own tendency to marginalize her</w:t>
      </w:r>
      <w:r>
        <w:rPr>
          <w:rFonts w:hint="default" w:ascii="Times New Roman Regular" w:hAnsi="Times New Roman Regular" w:cs="Times New Roman Regular"/>
          <w:sz w:val="24"/>
          <w:szCs w:val="24"/>
          <w:lang w:val="en-US" w:eastAsia="zh-CN"/>
        </w:rPr>
        <w:t xml:space="preserve">. </w:t>
      </w:r>
      <w:r>
        <w:rPr>
          <w:rFonts w:hint="eastAsia" w:ascii="Times New Roman Regular" w:hAnsi="Times New Roman Regular" w:cs="Times New Roman Regular"/>
          <w:sz w:val="24"/>
          <w:szCs w:val="24"/>
          <w:lang w:val="en-US" w:eastAsia="zh-CN"/>
        </w:rPr>
        <w:t>In</w:t>
      </w:r>
      <w:r>
        <w:rPr>
          <w:rFonts w:hint="default" w:ascii="Times New Roman Regular" w:hAnsi="Times New Roman Regular" w:cs="Times New Roman Regular"/>
          <w:sz w:val="24"/>
          <w:szCs w:val="24"/>
          <w:lang w:val="en-US" w:eastAsia="zh-CN"/>
        </w:rPr>
        <w:t xml:space="preserve"> this case, it is a good example of a constructed centrality: it is not that her story is unimportant, but that the critics chose not to read it. </w:t>
      </w:r>
    </w:p>
    <w:p w14:paraId="4E86AE98">
      <w:pPr>
        <w:spacing w:line="480" w:lineRule="auto"/>
        <w:ind w:firstLine="600" w:firstLineChars="250"/>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Isabella 's experience reveals the structural violence in Wuthering Heights. Heathcliff’s abuse of her is not personal madness, but systemic power permitted by the coverture legal system. In 19</w:t>
      </w:r>
      <w:r>
        <w:rPr>
          <w:rFonts w:hint="default" w:ascii="Times New Roman Regular" w:hAnsi="Times New Roman Regular" w:cs="Times New Roman Regular"/>
          <w:sz w:val="24"/>
          <w:szCs w:val="24"/>
          <w:vertAlign w:val="superscript"/>
          <w:lang w:val="en-US" w:eastAsia="zh-CN"/>
        </w:rPr>
        <w:t>th</w:t>
      </w:r>
      <w:r>
        <w:rPr>
          <w:rFonts w:hint="default" w:ascii="Times New Roman Regular" w:hAnsi="Times New Roman Regular" w:cs="Times New Roman Regular"/>
          <w:sz w:val="24"/>
          <w:szCs w:val="24"/>
          <w:lang w:val="en-US" w:eastAsia="zh-CN"/>
        </w:rPr>
        <w:t xml:space="preserve"> century’s coverture system, married women do not have an independent identity and their husband</w:t>
      </w:r>
      <w:r>
        <w:rPr>
          <w:rFonts w:hint="eastAsia" w:ascii="Times New Roman Regular" w:hAnsi="Times New Roman Regular" w:cs="Times New Roman Regular"/>
          <w:sz w:val="24"/>
          <w:szCs w:val="24"/>
          <w:lang w:val="en-US" w:eastAsia="zh-CN"/>
        </w:rPr>
        <w:t>s</w:t>
      </w:r>
      <w:r>
        <w:rPr>
          <w:rFonts w:hint="default" w:ascii="Times New Roman Regular" w:hAnsi="Times New Roman Regular" w:cs="Times New Roman Regular"/>
          <w:sz w:val="24"/>
          <w:szCs w:val="24"/>
          <w:lang w:val="en-US" w:eastAsia="zh-CN"/>
        </w:rPr>
        <w:t xml:space="preserve"> have rights to “protect” them.</w:t>
      </w:r>
      <w:r>
        <w:rPr>
          <w:rFonts w:hint="eastAsia" w:ascii="Times New Roman Regular" w:hAnsi="Times New Roman Regular" w:cs="Times New Roman Regular"/>
          <w:sz w:val="24"/>
          <w:szCs w:val="24"/>
          <w:lang w:val="en-US" w:eastAsia="zh-CN"/>
        </w:rPr>
        <w:t xml:space="preserve"> In</w:t>
      </w:r>
      <w:r>
        <w:rPr>
          <w:rFonts w:hint="default" w:ascii="Times New Roman Regular" w:hAnsi="Times New Roman Regular" w:cs="Times New Roman Regular"/>
          <w:sz w:val="24"/>
          <w:szCs w:val="24"/>
          <w:lang w:val="en-US" w:eastAsia="zh-CN"/>
        </w:rPr>
        <w:t xml:space="preserve"> the text, Heathcliff said “and I, being your legal protector, must retain you in my custody, however distasteful the obligation may be” (Brontë </w:t>
      </w:r>
      <w:r>
        <w:rPr>
          <w:rFonts w:hint="eastAsia" w:ascii="Times New Roman Regular" w:hAnsi="Times New Roman Regular" w:cs="Times New Roman Regular"/>
          <w:sz w:val="24"/>
          <w:szCs w:val="24"/>
          <w:lang w:val="en-US" w:eastAsia="zh-CN"/>
        </w:rPr>
        <w:t>160</w:t>
      </w:r>
      <w:r>
        <w:rPr>
          <w:rFonts w:hint="default" w:ascii="Times New Roman Regular" w:hAnsi="Times New Roman Regular" w:cs="Times New Roman Regular"/>
          <w:sz w:val="24"/>
          <w:szCs w:val="24"/>
          <w:lang w:val="en-US" w:eastAsia="zh-CN"/>
        </w:rPr>
        <w:t>). Yet Isabella is not always the passive victim. She writes letters to record her encounter and in the end she successfully escaped. By doing so, she reclaims her voice that coverture sought to erase.”</w:t>
      </w:r>
    </w:p>
    <w:p w14:paraId="5DD14FFC">
      <w:pPr>
        <w:spacing w:line="480" w:lineRule="auto"/>
        <w:ind w:firstLine="480" w:firstLineChars="200"/>
        <w:rPr>
          <w:rFonts w:hint="default"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t>P</w:t>
      </w:r>
      <w:r>
        <w:rPr>
          <w:rFonts w:hint="default" w:ascii="Times New Roman Regular" w:hAnsi="Times New Roman Regular" w:cs="Times New Roman Regular"/>
          <w:sz w:val="24"/>
          <w:szCs w:val="24"/>
          <w:lang w:val="en-US" w:eastAsia="zh-CN"/>
        </w:rPr>
        <w:t>eople might argue that critics focus on Heathcliff simply because his revenge drives the plot. But this objection misses the point: the question is why revenge was ever allowed to become ‘the plot’ in the first place, rather than Isabella’s escape or Catherine’s revolt. Through my analysis, the very definition of what counts as ‘central’ is a gendered construct.</w:t>
      </w:r>
      <w:r>
        <w:rPr>
          <w:rFonts w:hint="eastAsia" w:ascii="Times New Roman Regular" w:hAnsi="Times New Roman Regular" w:cs="Times New Roman Regular"/>
          <w:sz w:val="24"/>
          <w:szCs w:val="24"/>
          <w:lang w:val="en-US" w:eastAsia="zh-CN"/>
        </w:rPr>
        <w:t xml:space="preserve"> My analysis reveals three ways that the center is constructed.</w:t>
      </w:r>
      <w:r>
        <w:rPr>
          <w:rFonts w:hint="default" w:ascii="Times New Roman Regular" w:hAnsi="Times New Roman Regular" w:cs="Times New Roman Regular"/>
          <w:sz w:val="24"/>
          <w:szCs w:val="24"/>
          <w:lang w:val="en-US" w:eastAsia="zh-CN"/>
        </w:rPr>
        <w:t xml:space="preserve"> These are the male spectator position, the demonization of returning female gazes, and the legal system of coverture. Through Isabella, we see that the revenge center is not natural but chosen and constructed.</w:t>
      </w:r>
    </w:p>
    <w:p w14:paraId="11591738">
      <w:pPr>
        <w:spacing w:line="480" w:lineRule="auto"/>
        <w:ind w:firstLine="480" w:firstLineChars="200"/>
        <w:rPr>
          <w:rFonts w:hint="default" w:ascii="Times New Roman Regular" w:hAnsi="Times New Roman Regular" w:cs="Times New Roman Regular"/>
          <w:sz w:val="24"/>
          <w:szCs w:val="24"/>
          <w:lang w:val="en-US" w:eastAsia="zh-CN"/>
        </w:rPr>
      </w:pPr>
    </w:p>
    <w:p w14:paraId="51A49994">
      <w:pPr>
        <w:spacing w:line="480" w:lineRule="auto"/>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Work</w:t>
      </w:r>
      <w:r>
        <w:rPr>
          <w:rFonts w:hint="eastAsia" w:ascii="Times New Roman Regular" w:hAnsi="Times New Roman Regular" w:cs="Times New Roman Regular"/>
          <w:sz w:val="24"/>
          <w:szCs w:val="24"/>
          <w:lang w:val="en-US" w:eastAsia="zh-CN"/>
        </w:rPr>
        <w:t>s</w:t>
      </w:r>
      <w:r>
        <w:rPr>
          <w:rFonts w:hint="default" w:ascii="Times New Roman Regular" w:hAnsi="Times New Roman Regular" w:cs="Times New Roman Regular"/>
          <w:sz w:val="24"/>
          <w:szCs w:val="24"/>
          <w:lang w:val="en-US" w:eastAsia="zh-CN"/>
        </w:rPr>
        <w:t xml:space="preserve"> cited </w:t>
      </w:r>
    </w:p>
    <w:p w14:paraId="42699B2D">
      <w:pPr>
        <w:spacing w:line="480" w:lineRule="auto"/>
        <w:jc w:val="both"/>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Brontë, Emily. </w:t>
      </w:r>
      <w:r>
        <w:rPr>
          <w:rFonts w:hint="default" w:ascii="Times New Roman Italic" w:hAnsi="Times New Roman Italic" w:cs="Times New Roman Italic"/>
          <w:i/>
          <w:iCs/>
          <w:sz w:val="24"/>
          <w:szCs w:val="24"/>
          <w:lang w:val="en-US" w:eastAsia="zh-CN"/>
        </w:rPr>
        <w:t>Wuthering Heights.</w:t>
      </w:r>
      <w:r>
        <w:rPr>
          <w:rFonts w:hint="default" w:ascii="Times New Roman Regular" w:hAnsi="Times New Roman Regular" w:cs="Times New Roman Regular"/>
          <w:sz w:val="24"/>
          <w:szCs w:val="24"/>
          <w:lang w:val="en-US" w:eastAsia="zh-CN"/>
        </w:rPr>
        <w:t xml:space="preserve"> Collins Classics, 2010.</w:t>
      </w:r>
    </w:p>
    <w:p w14:paraId="46998413">
      <w:pPr>
        <w:keepNext w:val="0"/>
        <w:keepLines w:val="0"/>
        <w:pageBreakBefore w:val="0"/>
        <w:widowControl w:val="0"/>
        <w:kinsoku/>
        <w:wordWrap/>
        <w:overflowPunct/>
        <w:topLinePunct w:val="0"/>
        <w:autoSpaceDE/>
        <w:autoSpaceDN/>
        <w:bidi w:val="0"/>
        <w:adjustRightInd/>
        <w:snapToGrid/>
        <w:spacing w:line="480" w:lineRule="auto"/>
        <w:ind w:left="480" w:hanging="480" w:hanging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Newman, Beth. </w:t>
      </w:r>
      <w:r>
        <w:rPr>
          <w:rFonts w:hint="default" w:ascii="Times New Roman Italic" w:hAnsi="Times New Roman Italic" w:cs="Times New Roman Italic"/>
          <w:i/>
          <w:iCs/>
          <w:sz w:val="24"/>
          <w:szCs w:val="24"/>
          <w:lang w:val="en-US" w:eastAsia="zh-CN"/>
        </w:rPr>
        <w:t>“The Situation of the Looker-On”: Gender, Narration, and Gaze in Wuthering Heights.</w:t>
      </w:r>
      <w:r>
        <w:rPr>
          <w:rFonts w:hint="eastAsia" w:ascii="Times New Roman Italic" w:hAnsi="Times New Roman Italic" w:cs="Times New Roman Italic"/>
          <w:i/>
          <w:iCs/>
          <w:sz w:val="24"/>
          <w:szCs w:val="24"/>
          <w:lang w:val="en-US" w:eastAsia="zh-CN"/>
        </w:rPr>
        <w:t xml:space="preserve"> </w:t>
      </w:r>
      <w:r>
        <w:rPr>
          <w:rFonts w:hint="eastAsia" w:ascii="Times New Roman Regular" w:hAnsi="Times New Roman Regular" w:cs="Times New Roman Regular"/>
          <w:sz w:val="24"/>
          <w:szCs w:val="24"/>
          <w:lang w:val="en-US" w:eastAsia="zh-CN"/>
        </w:rPr>
        <w:t>vol. 105, no. 5, 1990, pp. 1029–</w:t>
      </w:r>
      <w:r>
        <w:rPr>
          <w:rFonts w:hint="default" w:ascii="Times New Roman Regular" w:hAnsi="Times New Roman Regular" w:cs="Times New Roman Regular"/>
          <w:sz w:val="24"/>
          <w:szCs w:val="24"/>
          <w:lang w:val="en-US" w:eastAsia="zh-CN"/>
        </w:rPr>
        <w:t>10</w:t>
      </w:r>
      <w:r>
        <w:rPr>
          <w:rFonts w:hint="eastAsia" w:ascii="Times New Roman Regular" w:hAnsi="Times New Roman Regular" w:cs="Times New Roman Regular"/>
          <w:sz w:val="24"/>
          <w:szCs w:val="24"/>
          <w:lang w:val="en-US" w:eastAsia="zh-CN"/>
        </w:rPr>
        <w:t>41. Modern Language Association, 1990. www.jstor.org/stable/462732</w:t>
      </w:r>
    </w:p>
    <w:p w14:paraId="463AC737">
      <w:pPr>
        <w:keepNext w:val="0"/>
        <w:keepLines w:val="0"/>
        <w:pageBreakBefore w:val="0"/>
        <w:widowControl w:val="0"/>
        <w:kinsoku/>
        <w:wordWrap/>
        <w:overflowPunct/>
        <w:topLinePunct w:val="0"/>
        <w:autoSpaceDE/>
        <w:autoSpaceDN/>
        <w:bidi w:val="0"/>
        <w:adjustRightInd/>
        <w:snapToGrid/>
        <w:spacing w:line="480" w:lineRule="auto"/>
        <w:ind w:left="480" w:hanging="480" w:hangingChars="200"/>
        <w:jc w:val="left"/>
        <w:textAlignment w:val="auto"/>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Pike, Judith E.</w:t>
      </w:r>
      <w:r>
        <w:rPr>
          <w:rFonts w:hint="default" w:ascii="Times New Roman Italic" w:hAnsi="Times New Roman Italic" w:cs="Times New Roman Italic"/>
          <w:i/>
          <w:iCs/>
          <w:sz w:val="24"/>
          <w:szCs w:val="24"/>
          <w:lang w:val="en-US" w:eastAsia="zh-CN"/>
        </w:rPr>
        <w:t xml:space="preserve"> “My name was Isabella Linton”: Coverture, Domestic Violence, and Mrs. Heathcliff’s Narrative in Wuthering Heights.</w:t>
      </w:r>
      <w:r>
        <w:rPr>
          <w:rFonts w:hint="default" w:ascii="Times New Roman Regular" w:hAnsi="Times New Roman Regular" w:cs="Times New Roman Regular"/>
          <w:sz w:val="24"/>
          <w:szCs w:val="24"/>
          <w:lang w:val="en-US" w:eastAsia="zh-CN"/>
        </w:rPr>
        <w:t xml:space="preserve"> vol. 64, no. 3, 2009, pp. 347–383.University of California Press, 2009. www.jstor.org/stable/10.1525/ncl.2009.64.3.347</w:t>
      </w:r>
    </w:p>
    <w:p w14:paraId="19E44B8A">
      <w:pPr>
        <w:keepNext w:val="0"/>
        <w:keepLines w:val="0"/>
        <w:pageBreakBefore w:val="0"/>
        <w:widowControl w:val="0"/>
        <w:kinsoku/>
        <w:wordWrap/>
        <w:overflowPunct/>
        <w:topLinePunct w:val="0"/>
        <w:autoSpaceDE/>
        <w:autoSpaceDN/>
        <w:bidi w:val="0"/>
        <w:adjustRightInd/>
        <w:snapToGrid/>
        <w:spacing w:line="480" w:lineRule="auto"/>
        <w:ind w:left="480" w:hanging="480" w:hangingChars="200"/>
        <w:jc w:val="left"/>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 xml:space="preserve"> Stoneman, Patsy. </w:t>
      </w:r>
      <w:r>
        <w:rPr>
          <w:rFonts w:hint="default" w:ascii="Times New Roman Italic" w:hAnsi="Times New Roman Italic" w:cs="Times New Roman Italic"/>
          <w:i/>
          <w:iCs/>
          <w:sz w:val="24"/>
          <w:szCs w:val="24"/>
          <w:lang w:val="en-US" w:eastAsia="zh-CN"/>
        </w:rPr>
        <w:t>“Feminist criticism of Wuthering Heights.”</w:t>
      </w:r>
      <w:r>
        <w:rPr>
          <w:rFonts w:hint="eastAsia" w:ascii="Times New Roman Italic" w:hAnsi="Times New Roman Italic" w:cs="Times New Roman Italic"/>
          <w:i/>
          <w:iCs/>
          <w:sz w:val="24"/>
          <w:szCs w:val="24"/>
          <w:lang w:val="en-US" w:eastAsia="zh-CN"/>
        </w:rPr>
        <w:t xml:space="preserve"> v</w:t>
      </w:r>
      <w:r>
        <w:rPr>
          <w:rFonts w:hint="eastAsia" w:ascii="Times New Roman Regular" w:hAnsi="Times New Roman Regular" w:cs="Times New Roman Regular"/>
          <w:sz w:val="24"/>
          <w:szCs w:val="24"/>
          <w:lang w:val="en-US" w:eastAsia="zh-CN"/>
        </w:rPr>
        <w:t>ol. 4, no. 2, 1992, pp. 147–</w:t>
      </w:r>
      <w:r>
        <w:rPr>
          <w:rFonts w:hint="default" w:ascii="Times New Roman Regular" w:hAnsi="Times New Roman Regular" w:cs="Times New Roman Regular"/>
          <w:sz w:val="24"/>
          <w:szCs w:val="24"/>
          <w:lang w:val="en-US" w:eastAsia="zh-CN"/>
        </w:rPr>
        <w:t>1</w:t>
      </w:r>
      <w:r>
        <w:rPr>
          <w:rFonts w:hint="eastAsia" w:ascii="Times New Roman Regular" w:hAnsi="Times New Roman Regular" w:cs="Times New Roman Regular"/>
          <w:sz w:val="24"/>
          <w:szCs w:val="24"/>
          <w:lang w:val="en-US" w:eastAsia="zh-CN"/>
        </w:rPr>
        <w:t>53. Berghahn Books, 1992 JSTOR, www.jstor.org/stable/41555645</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Regular">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30C84">
    <w:pPr>
      <w:pStyle w:val="3"/>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9F71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669F713">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Chen</w:t>
    </w:r>
    <w:r>
      <w:rPr>
        <w:rFonts w:hint="default"/>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FB6030"/>
    <w:rsid w:val="3BB9B3D4"/>
    <w:rsid w:val="4FAE272E"/>
    <w:rsid w:val="56CF9E88"/>
    <w:rsid w:val="5DA29200"/>
    <w:rsid w:val="7AEF3ED5"/>
    <w:rsid w:val="7AFB6030"/>
    <w:rsid w:val="7BFB4FE4"/>
    <w:rsid w:val="7D663E84"/>
    <w:rsid w:val="7F7FE4DD"/>
    <w:rsid w:val="7FEF77D0"/>
    <w:rsid w:val="BDFF7126"/>
    <w:rsid w:val="CC1EBB8A"/>
    <w:rsid w:val="DFEE81B5"/>
    <w:rsid w:val="FEEFD2FC"/>
    <w:rsid w:val="FEFD1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892</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2026-05-29T03:44:00Z</dcterms:created>
  <dc:creator>徐双荣</dc:creator>
  <cp:lastModifiedBy>徐双荣</cp:lastModifiedBy>
  <dcterms:modified xsi:type="dcterms:W3CDTF">2026-06-03T23:41:06Z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877EF878E3143723124B206A5EF48FFD_43</vt:lpwstr>
  </property>
</Properties>
</file>